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sop-l04-institutional-escalation-routing"/>
    <w:p>
      <w:pPr>
        <w:pStyle w:val="Heading1"/>
      </w:pPr>
      <w:r>
        <w:t xml:space="preserve">SOP-L04 · Institutional Escalation Routing</w:t>
      </w:r>
    </w:p>
    <w:p>
      <w:pPr>
        <w:pStyle w:val="FirstParagraph"/>
      </w:pPr>
      <w:r>
        <w:rPr>
          <w:bCs/>
          <w:b/>
        </w:rPr>
        <w:t xml:space="preserve">Institutionelle Eskalation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SOP-Code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SOP-L04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Series / Serie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 (Lead / Co-Lead policy)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Owner role / Owner-Rolle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Strategische Planung (</w:t>
            </w:r>
            <w:r>
              <w:rPr>
                <w:rStyle w:val="VerbatimChar"/>
              </w:rPr>
              <w:t xml:space="preserve">r-strategy</w:t>
            </w:r>
            <w:r>
              <w:t xml:space="preserve">) + Institutionelle Koord. (</w:t>
            </w:r>
            <w:r>
              <w:rPr>
                <w:rStyle w:val="VerbatimChar"/>
              </w:rPr>
              <w:t xml:space="preserve">r-institutional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 / Verantwortlich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Both Co-Leads (JB + HA)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Cadence / Kadenz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 hoc — when a decision needs institutional backing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 · 2026-07-28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File / Datei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Documents/SOPs/2026-07-15_cRDM_SOP-L04_Institutional-Escalation.docx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0" w:name="purpose-zweck"/>
    <w:p>
      <w:pPr>
        <w:pStyle w:val="Heading2"/>
      </w:pPr>
      <w:r>
        <w:t xml:space="preserve">🎯 Purpose / Zweck</w:t>
      </w:r>
    </w:p>
    <w:p>
      <w:pPr>
        <w:pStyle w:val="FirstParagraph"/>
      </w:pPr>
      <w:r>
        <w:rPr>
          <w:bCs/>
          <w:b/>
        </w:rPr>
        <w:t xml:space="preserve">EN:</w:t>
      </w:r>
      <w:r>
        <w:t xml:space="preserve"> </w:t>
      </w:r>
      <w:r>
        <w:t xml:space="preserve">Route decisions that need institutional authority (JMU Faculty, UKW Vorstand, Bioinformatics infrastructure, big-ticket contracts) to the correct professor with a consistent 1-page brief. Prevents ad-hoc, uncoordinated escalations and keeps the sponsoring professors informed proactively.</w:t>
      </w:r>
    </w:p>
    <w:p>
      <w:pPr>
        <w:pStyle w:val="BodyText"/>
      </w:pPr>
      <w:r>
        <w:rPr>
          <w:bCs/>
          <w:b/>
        </w:rPr>
        <w:t xml:space="preserve">DE:</w:t>
      </w:r>
      <w:r>
        <w:t xml:space="preserve"> </w:t>
      </w:r>
      <w:r>
        <w:t xml:space="preserve">Entscheidungen, die institutionelle Autorität benötigen (JMU-Fakultät, UKW-Vorstand, Bioinformatik-Infrastruktur, große Verträge), werden mit konsistentem 1-Seiten-Brief zum richtigen Professor gerouted. Verhindert unkoordinierte Eskalationen und hält die Trägerprofessoren proaktiv informiert.</w:t>
      </w:r>
    </w:p>
    <w:bookmarkEnd w:id="20"/>
    <w:bookmarkStart w:id="21" w:name="when-to-run-wann-anwenden"/>
    <w:p>
      <w:pPr>
        <w:pStyle w:val="Heading2"/>
      </w:pPr>
      <w:r>
        <w:t xml:space="preserve">🔔 When to run / Wann anwenden</w:t>
      </w:r>
    </w:p>
    <w:p>
      <w:pPr>
        <w:pStyle w:val="FirstParagraph"/>
      </w:pPr>
      <w:r>
        <w:t xml:space="preserve">Escalate when</w:t>
      </w:r>
      <w:r>
        <w:t xml:space="preserve"> </w:t>
      </w:r>
      <w:r>
        <w:rPr>
          <w:iCs/>
          <w:i/>
        </w:rPr>
        <w:t xml:space="preserve">any</w:t>
      </w:r>
      <w:r>
        <w:t xml:space="preserve"> </w:t>
      </w:r>
      <w:r>
        <w:t xml:space="preserve">of these apply:</w:t>
      </w:r>
    </w:p>
    <w:p>
      <w:pPr>
        <w:numPr>
          <w:ilvl w:val="0"/>
          <w:numId w:val="1001"/>
        </w:numPr>
        <w:pStyle w:val="Compact"/>
      </w:pPr>
      <w:r>
        <w:t xml:space="preserve">Contract &gt; €10,000 or duration &gt; 3 years</w:t>
      </w:r>
    </w:p>
    <w:p>
      <w:pPr>
        <w:numPr>
          <w:ilvl w:val="0"/>
          <w:numId w:val="1001"/>
        </w:numPr>
        <w:pStyle w:val="Compact"/>
      </w:pPr>
      <w:r>
        <w:t xml:space="preserve">Cross-institutional dispute (JMU ↔ UKW)</w:t>
      </w:r>
    </w:p>
    <w:p>
      <w:pPr>
        <w:numPr>
          <w:ilvl w:val="0"/>
          <w:numId w:val="1001"/>
        </w:numPr>
        <w:pStyle w:val="Compact"/>
      </w:pPr>
      <w:r>
        <w:t xml:space="preserve">Faculty-level policy change affecting cRDM</w:t>
      </w:r>
    </w:p>
    <w:p>
      <w:pPr>
        <w:numPr>
          <w:ilvl w:val="0"/>
          <w:numId w:val="1001"/>
        </w:numPr>
        <w:pStyle w:val="Compact"/>
      </w:pPr>
      <w:r>
        <w:t xml:space="preserve">Media enquiry or public-communications risk</w:t>
      </w:r>
    </w:p>
    <w:p>
      <w:pPr>
        <w:numPr>
          <w:ilvl w:val="0"/>
          <w:numId w:val="1001"/>
        </w:numPr>
        <w:pStyle w:val="Compact"/>
      </w:pPr>
      <w:r>
        <w:t xml:space="preserve">Regulatory or compliance issue (data protection, ethics)</w:t>
      </w:r>
    </w:p>
    <w:p>
      <w:pPr>
        <w:numPr>
          <w:ilvl w:val="0"/>
          <w:numId w:val="1001"/>
        </w:numPr>
        <w:pStyle w:val="Compact"/>
      </w:pPr>
      <w:r>
        <w:t xml:space="preserve">Hardware / hosting decision &gt; €5,000</w:t>
      </w:r>
    </w:p>
    <w:p>
      <w:pPr>
        <w:numPr>
          <w:ilvl w:val="0"/>
          <w:numId w:val="1001"/>
        </w:numPr>
        <w:pStyle w:val="Compact"/>
      </w:pPr>
      <w:r>
        <w:t xml:space="preserve">Personnel matter beyond cRDM’s own authority</w:t>
      </w:r>
    </w:p>
    <w:bookmarkEnd w:id="21"/>
    <w:bookmarkStart w:id="22" w:name="roles-raci"/>
    <w:p>
      <w:pPr>
        <w:pStyle w:val="Heading2"/>
      </w:pPr>
      <w:r>
        <w:t xml:space="preserve">👥 Roles (RACI)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Person(s)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</w:t>
            </w:r>
            <w:r>
              <w:t xml:space="preserve">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Whichever Co-Lead identifies the issue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</w:t>
            </w:r>
            <w:r>
              <w:t xml:space="preserve">ccountable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Both Co-Leads jointly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</w:t>
            </w:r>
            <w:r>
              <w:t xml:space="preserve">onsulted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 professor (per routing table below)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</w:t>
            </w:r>
            <w:r>
              <w:t xml:space="preserve">nformed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 via next Monday meeting (unless confidential)</w:t>
            </w:r>
          </w:p>
        </w:tc>
      </w:tr>
    </w:tbl>
    <w:bookmarkEnd w:id="22"/>
    <w:bookmarkStart w:id="23" w:name="prerequisites-voraussetzungen"/>
    <w:p>
      <w:pPr>
        <w:pStyle w:val="Heading2"/>
      </w:pPr>
      <w:r>
        <w:t xml:space="preserve">📥 Prerequisites / Voraussetzungen</w:t>
      </w:r>
    </w:p>
    <w:p>
      <w:pPr>
        <w:numPr>
          <w:ilvl w:val="0"/>
          <w:numId w:val="1002"/>
        </w:numPr>
        <w:pStyle w:val="Compact"/>
      </w:pPr>
      <w:r>
        <w:t xml:space="preserve">Decision is genuinely institutional (not resolvable inside cRDM)</w:t>
      </w:r>
    </w:p>
    <w:p>
      <w:pPr>
        <w:numPr>
          <w:ilvl w:val="0"/>
          <w:numId w:val="1002"/>
        </w:numPr>
        <w:pStyle w:val="Compact"/>
      </w:pPr>
      <w:r>
        <w:t xml:space="preserve">Facts on hand: what happened, options considered, cRDM recommendation</w:t>
      </w:r>
    </w:p>
    <w:p>
      <w:pPr>
        <w:numPr>
          <w:ilvl w:val="0"/>
          <w:numId w:val="1002"/>
        </w:numPr>
        <w:pStyle w:val="Compact"/>
      </w:pPr>
      <w:r>
        <w:t xml:space="preserve">Briefing template available:</w:t>
      </w:r>
      <w:r>
        <w:t xml:space="preserve"> </w:t>
      </w:r>
      <w:r>
        <w:rPr>
          <w:rStyle w:val="VerbatimChar"/>
        </w:rPr>
        <w:t xml:space="preserve">Documents/Governance/_templates/institutional-brief.docx</w:t>
      </w:r>
    </w:p>
    <w:bookmarkEnd w:id="23"/>
    <w:bookmarkStart w:id="30" w:name="procedure-vorgehen"/>
    <w:p>
      <w:pPr>
        <w:pStyle w:val="Heading2"/>
      </w:pPr>
      <w:r>
        <w:t xml:space="preserve">📋 Procedure / Vorgehen</w:t>
      </w:r>
    </w:p>
    <w:bookmarkStart w:id="24" w:name="determine-the-escalation-route"/>
    <w:p>
      <w:pPr>
        <w:pStyle w:val="Heading3"/>
      </w:pPr>
      <w:r>
        <w:t xml:space="preserve">1. Determine the escalation route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Topic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Route 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JMU Faculty / Presidency / MIT-Zentrum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Prof. Katrin Heinze</w:t>
            </w:r>
            <w:r>
              <w:t xml:space="preserve"> </w:t>
            </w:r>
            <w:r>
              <w:t xml:space="preserve">(JMU Co-Owner)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UKW Vorstand / Med. Faculty / clinical governance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Prof. Philip Tovote</w:t>
            </w:r>
            <w:r>
              <w:t xml:space="preserve"> </w:t>
            </w:r>
            <w:r>
              <w:t xml:space="preserve">(UKW Co-Owner)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Bioinformatics infrastructure / hosting / hardware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Prof. Thomas Dandekar</w:t>
            </w:r>
            <w:r>
              <w:t xml:space="preserve"> </w:t>
            </w:r>
            <w:r>
              <w:t xml:space="preserve">(Platform Owner)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DFG-programmatic questions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to DFG Programme Officer (no intermediate)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RZ scaling / backup / disaster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RZ leadership directly, cc’ing all three professors</w:t>
            </w:r>
          </w:p>
        </w:tc>
      </w:tr>
    </w:tbl>
    <w:p>
      <w:pPr>
        <w:pStyle w:val="BodyText"/>
      </w:pPr>
      <w:r>
        <w:rPr>
          <w:bCs/>
          <w:b/>
        </w:rPr>
        <w:t xml:space="preserve">If unsure</w:t>
      </w:r>
      <w:r>
        <w:t xml:space="preserve"> </w:t>
      </w:r>
      <w:r>
        <w:t xml:space="preserve">— brief goes to Heinze</w:t>
      </w:r>
      <w:r>
        <w:t xml:space="preserve"> </w:t>
      </w:r>
      <w:r>
        <w:rPr>
          <w:iCs/>
          <w:i/>
        </w:rPr>
        <w:t xml:space="preserve">and</w:t>
      </w:r>
      <w:r>
        <w:t xml:space="preserve"> </w:t>
      </w:r>
      <w:r>
        <w:t xml:space="preserve">Tovote with a routing question.</w:t>
      </w:r>
    </w:p>
    <w:bookmarkEnd w:id="24"/>
    <w:bookmarkStart w:id="25" w:name="prepare-the-1-page-brief"/>
    <w:p>
      <w:pPr>
        <w:pStyle w:val="Heading3"/>
      </w:pPr>
      <w:r>
        <w:t xml:space="preserve">2. Prepare the 1-page brief</w:t>
      </w:r>
    </w:p>
    <w:p>
      <w:pPr>
        <w:pStyle w:val="FirstParagraph"/>
      </w:pPr>
      <w:r>
        <w:t xml:space="preserve">Use template</w:t>
      </w:r>
      <w:r>
        <w:t xml:space="preserve"> </w:t>
      </w:r>
      <w:r>
        <w:rPr>
          <w:rStyle w:val="VerbatimChar"/>
        </w:rPr>
        <w:t xml:space="preserve">institutional-brief.docx</w:t>
      </w:r>
      <w:r>
        <w:t xml:space="preserve">. Structure: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Kontext (Context)</w:t>
      </w:r>
      <w:r>
        <w:t xml:space="preserve"> </w:t>
      </w:r>
      <w:r>
        <w:t xml:space="preserve">— 3-5 sentences: what situation, what decision needed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Optionen (Options)</w:t>
      </w:r>
      <w:r>
        <w:t xml:space="preserve"> </w:t>
      </w:r>
      <w:r>
        <w:t xml:space="preserve">— 2-3 clear options with brief pros/cons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cRDM-Empfehlung (cRDM Recommendation)</w:t>
      </w:r>
      <w:r>
        <w:t xml:space="preserve"> </w:t>
      </w:r>
      <w:r>
        <w:t xml:space="preserve">— which option, why, urgency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Zeitdruck (Time pressure)</w:t>
      </w:r>
      <w:r>
        <w:t xml:space="preserve"> </w:t>
      </w:r>
      <w:r>
        <w:t xml:space="preserve">— deadline for decision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Anhang (Attachments)</w:t>
      </w:r>
      <w:r>
        <w:t xml:space="preserve"> </w:t>
      </w:r>
      <w:r>
        <w:t xml:space="preserve">— supporting docs (contract draft, email thread, etc.)</w:t>
      </w:r>
    </w:p>
    <w:p>
      <w:pPr>
        <w:pStyle w:val="FirstParagraph"/>
      </w:pPr>
      <w:r>
        <w:t xml:space="preserve">Length limit:</w:t>
      </w:r>
      <w:r>
        <w:t xml:space="preserve"> </w:t>
      </w:r>
      <w:r>
        <w:rPr>
          <w:bCs/>
          <w:b/>
        </w:rPr>
        <w:t xml:space="preserve">1 page</w:t>
      </w:r>
      <w:r>
        <w:t xml:space="preserve">. If it doesn’t fit on 1 page, it’s not ready to escalate.</w:t>
      </w:r>
    </w:p>
    <w:bookmarkEnd w:id="25"/>
    <w:bookmarkStart w:id="26" w:name="send-request-response"/>
    <w:p>
      <w:pPr>
        <w:pStyle w:val="Heading3"/>
      </w:pPr>
      <w:r>
        <w:t xml:space="preserve">3. Send + request response</w:t>
      </w:r>
    </w:p>
    <w:p>
      <w:pPr>
        <w:pStyle w:val="FirstParagraph"/>
      </w:pPr>
      <w:r>
        <w:t xml:space="preserve">Send via:</w:t>
      </w:r>
      <w:r>
        <w:t xml:space="preserve"> </w:t>
      </w:r>
      <w:r>
        <w:t xml:space="preserve">- Signal or SMS</w:t>
      </w:r>
      <w:r>
        <w:t xml:space="preserve"> </w:t>
      </w:r>
      <w:r>
        <w:rPr>
          <w:iCs/>
          <w:i/>
        </w:rPr>
        <w:t xml:space="preserve">first</w:t>
      </w:r>
      <w:r>
        <w:t xml:space="preserve"> </w:t>
      </w:r>
      <w:r>
        <w:t xml:space="preserve">(heads-up, informal)</w:t>
      </w:r>
      <w:r>
        <w:t xml:space="preserve"> </w:t>
      </w:r>
      <w:r>
        <w:t xml:space="preserve">- Then formal email with the brief attached</w:t>
      </w:r>
      <w:r>
        <w:t xml:space="preserve"> </w:t>
      </w:r>
      <w:r>
        <w:t xml:space="preserve">- Request response deadline aligned with your urgency</w:t>
      </w:r>
    </w:p>
    <w:bookmarkEnd w:id="26"/>
    <w:bookmarkStart w:id="27" w:name="log-the-escalation"/>
    <w:p>
      <w:pPr>
        <w:pStyle w:val="Heading3"/>
      </w:pPr>
      <w:r>
        <w:t xml:space="preserve">4. Log the escalation</w:t>
      </w:r>
    </w:p>
    <w:p>
      <w:pPr>
        <w:pStyle w:val="FirstParagraph"/>
      </w:pPr>
      <w:r>
        <w:t xml:space="preserve">File in</w:t>
      </w:r>
      <w:r>
        <w:t xml:space="preserve"> </w:t>
      </w:r>
      <w:r>
        <w:rPr>
          <w:rStyle w:val="VerbatimChar"/>
        </w:rPr>
        <w:t xml:space="preserve">Documents/Governance/escalations/{YYYY-MM-DD}_{topic}.docx</w:t>
      </w:r>
      <w:r>
        <w:t xml:space="preserve"> </w:t>
      </w:r>
      <w:r>
        <w:t xml:space="preserve">containing:</w:t>
      </w:r>
      <w:r>
        <w:t xml:space="preserve"> </w:t>
      </w:r>
      <w:r>
        <w:t xml:space="preserve">- The brief sent</w:t>
      </w:r>
      <w:r>
        <w:t xml:space="preserve"> </w:t>
      </w:r>
      <w:r>
        <w:t xml:space="preserve">- The response received (email or meeting note)</w:t>
      </w:r>
      <w:r>
        <w:t xml:space="preserve"> </w:t>
      </w:r>
      <w:r>
        <w:t xml:space="preserve">- The decision + reasoning</w:t>
      </w:r>
      <w:r>
        <w:t xml:space="preserve"> </w:t>
      </w:r>
      <w:r>
        <w:t xml:space="preserve">- Follow-up actions</w:t>
      </w:r>
    </w:p>
    <w:bookmarkEnd w:id="27"/>
    <w:bookmarkStart w:id="28" w:name="communicate-the-decision"/>
    <w:p>
      <w:pPr>
        <w:pStyle w:val="Heading3"/>
      </w:pPr>
      <w:r>
        <w:t xml:space="preserve">5. Communicate the decision</w:t>
      </w:r>
    </w:p>
    <w:p>
      <w:pPr>
        <w:numPr>
          <w:ilvl w:val="0"/>
          <w:numId w:val="1004"/>
        </w:numPr>
        <w:pStyle w:val="Compact"/>
      </w:pPr>
      <w:r>
        <w:t xml:space="preserve">To the affected consortium / party</w:t>
      </w:r>
    </w:p>
    <w:p>
      <w:pPr>
        <w:numPr>
          <w:ilvl w:val="0"/>
          <w:numId w:val="1004"/>
        </w:numPr>
        <w:pStyle w:val="Compact"/>
      </w:pPr>
      <w:r>
        <w:t xml:space="preserve">To the cRDM team (next Monday meeting, unless confidential)</w:t>
      </w:r>
    </w:p>
    <w:p>
      <w:pPr>
        <w:numPr>
          <w:ilvl w:val="0"/>
          <w:numId w:val="1004"/>
        </w:numPr>
        <w:pStyle w:val="Compact"/>
      </w:pPr>
      <w:r>
        <w:t xml:space="preserve">Any handovers required</w:t>
      </w:r>
    </w:p>
    <w:bookmarkEnd w:id="28"/>
    <w:bookmarkStart w:id="29" w:name="follow-up-if-no-response-within-deadline"/>
    <w:p>
      <w:pPr>
        <w:pStyle w:val="Heading3"/>
      </w:pPr>
      <w:r>
        <w:t xml:space="preserve">6. Follow-up if no response within deadline</w:t>
      </w:r>
    </w:p>
    <w:p>
      <w:pPr>
        <w:numPr>
          <w:ilvl w:val="0"/>
          <w:numId w:val="1005"/>
        </w:numPr>
        <w:pStyle w:val="Compact"/>
      </w:pPr>
      <w:r>
        <w:t xml:space="preserve">Day 1 past deadline: polite reminder</w:t>
      </w:r>
    </w:p>
    <w:p>
      <w:pPr>
        <w:numPr>
          <w:ilvl w:val="0"/>
          <w:numId w:val="1005"/>
        </w:numPr>
        <w:pStyle w:val="Compact"/>
      </w:pPr>
      <w:r>
        <w:t xml:space="preserve">Day 3 past deadline: escalate to the</w:t>
      </w:r>
      <w:r>
        <w:t xml:space="preserve"> </w:t>
      </w:r>
      <w:r>
        <w:rPr>
          <w:iCs/>
          <w:i/>
        </w:rPr>
        <w:t xml:space="preserve">other</w:t>
      </w:r>
      <w:r>
        <w:t xml:space="preserve"> </w:t>
      </w:r>
      <w:r>
        <w:t xml:space="preserve">Co-Owner professor</w:t>
      </w:r>
    </w:p>
    <w:p>
      <w:pPr>
        <w:numPr>
          <w:ilvl w:val="0"/>
          <w:numId w:val="1005"/>
        </w:numPr>
        <w:pStyle w:val="Compact"/>
      </w:pPr>
      <w:r>
        <w:t xml:space="preserve">Day 7 past deadline: consider escalating to a higher institutional level</w:t>
      </w:r>
    </w:p>
    <w:bookmarkEnd w:id="29"/>
    <w:bookmarkEnd w:id="30"/>
    <w:bookmarkStart w:id="31" w:name="outputs-ergebnisse"/>
    <w:p>
      <w:pPr>
        <w:pStyle w:val="Heading2"/>
      </w:pPr>
      <w:r>
        <w:t xml:space="preserve">📤 Outputs / Ergebnisse</w:t>
      </w:r>
    </w:p>
    <w:p>
      <w:pPr>
        <w:numPr>
          <w:ilvl w:val="0"/>
          <w:numId w:val="1006"/>
        </w:numPr>
        <w:pStyle w:val="Compact"/>
      </w:pPr>
      <w:r>
        <w:t xml:space="preserve">Filed brief with decision (</w:t>
      </w:r>
      <w:r>
        <w:rPr>
          <w:rStyle w:val="VerbatimChar"/>
        </w:rPr>
        <w:t xml:space="preserve">Documents/Governance/escalations/</w:t>
      </w:r>
      <w:r>
        <w:t xml:space="preserve">)</w:t>
      </w:r>
    </w:p>
    <w:p>
      <w:pPr>
        <w:numPr>
          <w:ilvl w:val="0"/>
          <w:numId w:val="1006"/>
        </w:numPr>
        <w:pStyle w:val="Compact"/>
      </w:pPr>
      <w:r>
        <w:t xml:space="preserve">Communicated outcome</w:t>
      </w:r>
    </w:p>
    <w:p>
      <w:pPr>
        <w:numPr>
          <w:ilvl w:val="0"/>
          <w:numId w:val="1006"/>
        </w:numPr>
        <w:pStyle w:val="Compact"/>
      </w:pPr>
      <w:r>
        <w:t xml:space="preserve">Updated cRDM operational stance (if policy changed)</w:t>
      </w:r>
    </w:p>
    <w:bookmarkEnd w:id="31"/>
    <w:bookmarkStart w:id="32" w:name="quality-criteria-qualitätskriterien"/>
    <w:p>
      <w:pPr>
        <w:pStyle w:val="Heading2"/>
      </w:pPr>
      <w:r>
        <w:t xml:space="preserve">✅ Quality criteria / Qualitätskriterien</w:t>
      </w:r>
    </w:p>
    <w:p>
      <w:pPr>
        <w:numPr>
          <w:ilvl w:val="0"/>
          <w:numId w:val="1007"/>
        </w:numPr>
        <w:pStyle w:val="Compact"/>
      </w:pPr>
      <w:r>
        <w:t xml:space="preserve">Brief is on 1 page, no more</w:t>
      </w:r>
    </w:p>
    <w:p>
      <w:pPr>
        <w:numPr>
          <w:ilvl w:val="0"/>
          <w:numId w:val="1007"/>
        </w:numPr>
        <w:pStyle w:val="Compact"/>
      </w:pPr>
      <w:r>
        <w:t xml:space="preserve">Routing was correct on first attempt</w:t>
      </w:r>
    </w:p>
    <w:p>
      <w:pPr>
        <w:numPr>
          <w:ilvl w:val="0"/>
          <w:numId w:val="1007"/>
        </w:numPr>
        <w:pStyle w:val="Compact"/>
      </w:pPr>
      <w:r>
        <w:t xml:space="preserve">Response received within requested timeframe</w:t>
      </w:r>
    </w:p>
    <w:p>
      <w:pPr>
        <w:numPr>
          <w:ilvl w:val="0"/>
          <w:numId w:val="1007"/>
        </w:numPr>
        <w:pStyle w:val="Compact"/>
      </w:pPr>
      <w:r>
        <w:t xml:space="preserve">Decision logged and communicated</w:t>
      </w:r>
    </w:p>
    <w:p>
      <w:pPr>
        <w:numPr>
          <w:ilvl w:val="0"/>
          <w:numId w:val="1007"/>
        </w:numPr>
        <w:pStyle w:val="Compact"/>
      </w:pPr>
      <w:r>
        <w:t xml:space="preserve">Both Co-Leads know the outcome</w:t>
      </w:r>
    </w:p>
    <w:bookmarkEnd w:id="32"/>
    <w:bookmarkStart w:id="33" w:name="related-verwandt"/>
    <w:p>
      <w:pPr>
        <w:pStyle w:val="Heading2"/>
      </w:pPr>
      <w:r>
        <w:t xml:space="preserve">🔗 Related / Verwandt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SOP-L01</w:t>
      </w:r>
      <w:r>
        <w:t xml:space="preserve"> </w:t>
      </w:r>
      <w:r>
        <w:t xml:space="preserve">— Grant Application Preparation (large grants may need endorsement)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SOP-X03</w:t>
      </w:r>
      <w:r>
        <w:t xml:space="preserve"> </w:t>
      </w:r>
      <w:r>
        <w:t xml:space="preserve">— Consortium Offboarding (may need escalation)</w:t>
      </w:r>
    </w:p>
    <w:bookmarkEnd w:id="33"/>
    <w:bookmarkStart w:id="34" w:name="notes-anmerkungen"/>
    <w:p>
      <w:pPr>
        <w:pStyle w:val="Heading2"/>
      </w:pPr>
      <w:r>
        <w:t xml:space="preserve">📝 Notes / Anmerkungen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The escalation table can change:</w:t>
      </w:r>
      <w:r>
        <w:t xml:space="preserve"> </w:t>
      </w:r>
      <w:r>
        <w:t xml:space="preserve">professor roles rotate over the years. Review this SOP annually.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Confidentiality:</w:t>
      </w:r>
      <w:r>
        <w:t xml:space="preserve"> </w:t>
      </w:r>
      <w:r>
        <w:t xml:space="preserve">some escalations (personnel, disputes) must not go to the team meeting. Note this in the log.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Do not chain-escalate:</w:t>
      </w:r>
      <w:r>
        <w:t xml:space="preserve"> </w:t>
      </w:r>
      <w:r>
        <w:t xml:space="preserve">if Heinze says</w:t>
      </w:r>
      <w:r>
        <w:t xml:space="preserve"> </w:t>
      </w:r>
      <w:r>
        <w:t xml:space="preserve">“</w:t>
      </w:r>
      <w:r>
        <w:t xml:space="preserve">ask Tovote</w:t>
      </w:r>
      <w:r>
        <w:t xml:space="preserve">”</w:t>
      </w:r>
      <w:r>
        <w:t xml:space="preserve">, go to Tovote directly. Do not use Heinze as intermediary.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Change log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2026-07-28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Initial version</w:t>
            </w:r>
          </w:p>
        </w:tc>
      </w:tr>
    </w:tbl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2026-07-28T21:37:41Z</dcterms:created>
  <dcterms:modified xsi:type="dcterms:W3CDTF">2026-07-28T21:37:41Z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