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sop-l02-dfg-progress-report"/>
    <w:p>
      <w:pPr>
        <w:pStyle w:val="Heading1"/>
      </w:pPr>
      <w:r>
        <w:t xml:space="preserve">SOP-L02 · DFG Progress Report</w:t>
      </w:r>
    </w:p>
    <w:p>
      <w:pPr>
        <w:pStyle w:val="FirstParagraph"/>
      </w:pPr>
      <w:r>
        <w:rPr>
          <w:bCs/>
          <w:b/>
        </w:rPr>
        <w:t xml:space="preserve">DFG-Zwischenbericht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SOP-L02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 (Lead / Co-Lead policy)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Anträge + DFG-Reviews (</w:t>
            </w:r>
            <w:r>
              <w:rPr>
                <w:rStyle w:val="VerbatimChar"/>
              </w:rPr>
              <w:t xml:space="preserve">r-grants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JB and HA (per consortium ownership)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6 or 12 months per grant requirement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Documents/SOPs/2026-07-15_cRDM_SOP-L02_DFG-Progress-Report.docx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Prepare periodic progress reports (Zwischenberichte) to the DFG for ongoing consortium support where cRDM contributes as INF/Z02. Ensures reports are quantitatively backed, on time, and consistent across consortia.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Erstellung periodischer Zwischenberichte an die DFG für laufende Konsortium-Unterstützung, bei denen cRDM als INF/Z02 beiträgt. Sichert quantitativ belegte, pünktliche und konsortium-übergreifend konsistente Berichte.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numPr>
          <w:ilvl w:val="0"/>
          <w:numId w:val="1001"/>
        </w:numPr>
        <w:pStyle w:val="Compact"/>
      </w:pPr>
      <w:r>
        <w:t xml:space="preserve">60 days before a DFG-required progress report is due (regular Zwischenbericht)</w:t>
      </w:r>
    </w:p>
    <w:p>
      <w:pPr>
        <w:numPr>
          <w:ilvl w:val="0"/>
          <w:numId w:val="1001"/>
        </w:numPr>
        <w:pStyle w:val="Compact"/>
      </w:pPr>
      <w:r>
        <w:t xml:space="preserve">Ad-hoc report request from consortium PI</w:t>
      </w:r>
    </w:p>
    <w:p>
      <w:pPr>
        <w:numPr>
          <w:ilvl w:val="0"/>
          <w:numId w:val="1001"/>
        </w:numPr>
        <w:pStyle w:val="Compact"/>
      </w:pPr>
      <w:r>
        <w:t xml:space="preserve">Annual accountability update to funder even if not formally required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Co-Lead who owns the consortium (per Task Distribution Register)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 jointly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Consortium PI (data validation)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Content-Admin (archival)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t xml:space="preserve">Metadata Excel for the consortium is current (see</w:t>
      </w:r>
      <w:r>
        <w:t xml:space="preserve"> </w:t>
      </w:r>
      <w:r>
        <w:rPr>
          <w:rStyle w:val="VerbatimChar"/>
        </w:rPr>
        <w:t xml:space="preserve">SOP-A02</w:t>
      </w: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Access to Nextcloud usage metrics (storage, active users)</w:t>
      </w:r>
    </w:p>
    <w:p>
      <w:pPr>
        <w:numPr>
          <w:ilvl w:val="0"/>
          <w:numId w:val="1002"/>
        </w:numPr>
        <w:pStyle w:val="Compact"/>
      </w:pPr>
      <w:r>
        <w:t xml:space="preserve">Original grant application on hand for comparison</w:t>
      </w:r>
    </w:p>
    <w:p>
      <w:pPr>
        <w:numPr>
          <w:ilvl w:val="0"/>
          <w:numId w:val="1002"/>
        </w:numPr>
        <w:pStyle w:val="Compact"/>
      </w:pPr>
      <w:r>
        <w:t xml:space="preserve">Previous report(s) filed for consistency reference</w:t>
      </w:r>
    </w:p>
    <w:bookmarkEnd w:id="23"/>
    <w:bookmarkStart w:id="31" w:name="procedure-vorgehen"/>
    <w:p>
      <w:pPr>
        <w:pStyle w:val="Heading2"/>
      </w:pPr>
      <w:r>
        <w:t xml:space="preserve">📋 Procedure / Vorgehen</w:t>
      </w:r>
    </w:p>
    <w:bookmarkStart w:id="24" w:name="deadline-detection-t-90-days"/>
    <w:p>
      <w:pPr>
        <w:pStyle w:val="Heading3"/>
      </w:pPr>
      <w:r>
        <w:t xml:space="preserve">1. Deadline detection (T-90 days)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rPr>
          <w:rStyle w:val="VerbatimChar"/>
        </w:rPr>
        <w:t xml:space="preserve">SOP-B04 Networking-Calendar</w:t>
      </w:r>
      <w:r>
        <w:t xml:space="preserve"> </w:t>
      </w:r>
      <w:r>
        <w:t xml:space="preserve">should already contain the deadline. If not, add it. Create Deck card labelled</w:t>
      </w:r>
      <w:r>
        <w:t xml:space="preserve"> </w:t>
      </w:r>
      <w:r>
        <w:rPr>
          <w:rStyle w:val="VerbatimChar"/>
        </w:rPr>
        <w:t xml:space="preserve">dfg-report</w:t>
      </w:r>
      <w:r>
        <w:t xml:space="preserve"> </w:t>
      </w:r>
      <w:r>
        <w:t xml:space="preserve">with the deadline.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Deadline sollte bereits im</w:t>
      </w:r>
      <w:r>
        <w:t xml:space="preserve"> </w:t>
      </w:r>
      <w:r>
        <w:rPr>
          <w:rStyle w:val="VerbatimChar"/>
        </w:rPr>
        <w:t xml:space="preserve">SOP-B04 Networking-Kalender</w:t>
      </w:r>
      <w:r>
        <w:t xml:space="preserve"> </w:t>
      </w:r>
      <w:r>
        <w:t xml:space="preserve">stehen. Falls nicht, ergänzen. Deck-Karte mit Label</w:t>
      </w:r>
      <w:r>
        <w:t xml:space="preserve"> </w:t>
      </w:r>
      <w:r>
        <w:rPr>
          <w:rStyle w:val="VerbatimChar"/>
        </w:rPr>
        <w:t xml:space="preserve">dfg-report</w:t>
      </w:r>
      <w:r>
        <w:t xml:space="preserve"> </w:t>
      </w:r>
      <w:r>
        <w:t xml:space="preserve">und Deadline anlegen.</w:t>
      </w:r>
    </w:p>
    <w:bookmarkEnd w:id="24"/>
    <w:bookmarkStart w:id="25" w:name="data-collection-t-90-to-t-60"/>
    <w:p>
      <w:pPr>
        <w:pStyle w:val="Heading3"/>
      </w:pPr>
      <w:r>
        <w:t xml:space="preserve">2. Data collection (T-90 to T-60)</w:t>
      </w:r>
    </w:p>
    <w:p>
      <w:pPr>
        <w:pStyle w:val="FirstParagraph"/>
      </w:pPr>
      <w:r>
        <w:t xml:space="preserve">Collect quantitative metrics per consortium: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Active users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Nextcloud admin panel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 used vs. quota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Groupfolders app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Milestones hit vs. planned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Consortium PI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Training sessions delivered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HA’s log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Support tickets resolved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Content-Admin’s log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Publications acknowledging cRDM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 + Google Scholar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Consortium-specific KPIs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Original grant application</w:t>
            </w:r>
          </w:p>
        </w:tc>
      </w:tr>
    </w:tbl>
    <w:bookmarkEnd w:id="25"/>
    <w:bookmarkStart w:id="26" w:name="draft-narrative-t-60-to-t-30"/>
    <w:p>
      <w:pPr>
        <w:pStyle w:val="Heading3"/>
      </w:pPr>
      <w:r>
        <w:t xml:space="preserve">3. Draft narrative (T-60 to T-30)</w:t>
      </w:r>
    </w:p>
    <w:p>
      <w:pPr>
        <w:pStyle w:val="FirstParagraph"/>
      </w:pPr>
      <w:r>
        <w:t xml:space="preserve">Structure per DFG standard: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Berichtszeitraum</w:t>
      </w:r>
      <w:r>
        <w:t xml:space="preserve"> </w:t>
      </w:r>
      <w:r>
        <w:t xml:space="preserve">— reporting period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Erreichte Ergebnisse</w:t>
      </w:r>
      <w:r>
        <w:t xml:space="preserve"> </w:t>
      </w:r>
      <w:r>
        <w:t xml:space="preserve">— achievements (bullet points, quantitative)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Abweichungen vom Antrag</w:t>
      </w:r>
      <w:r>
        <w:t xml:space="preserve"> </w:t>
      </w:r>
      <w:r>
        <w:t xml:space="preserve">— deviations from plan (with justification)</w:t>
      </w:r>
      <w:r>
        <w:t xml:space="preserve"> </w:t>
      </w:r>
      <w:r>
        <w:t xml:space="preserve">4.</w:t>
      </w:r>
      <w:r>
        <w:t xml:space="preserve"> </w:t>
      </w:r>
      <w:r>
        <w:rPr>
          <w:bCs/>
          <w:b/>
        </w:rPr>
        <w:t xml:space="preserve">Erkenntnisse für die Community</w:t>
      </w:r>
      <w:r>
        <w:t xml:space="preserve"> </w:t>
      </w:r>
      <w:r>
        <w:t xml:space="preserve">— outputs beyond the consortium</w:t>
      </w:r>
      <w:r>
        <w:t xml:space="preserve"> </w:t>
      </w:r>
      <w:r>
        <w:t xml:space="preserve">5.</w:t>
      </w:r>
      <w:r>
        <w:t xml:space="preserve"> </w:t>
      </w:r>
      <w:r>
        <w:rPr>
          <w:bCs/>
          <w:b/>
        </w:rPr>
        <w:t xml:space="preserve">Ausblick</w:t>
      </w:r>
      <w:r>
        <w:t xml:space="preserve"> </w:t>
      </w:r>
      <w:r>
        <w:t xml:space="preserve">— next reporting period plan</w:t>
      </w:r>
      <w:r>
        <w:t xml:space="preserve"> </w:t>
      </w:r>
      <w:r>
        <w:t xml:space="preserve">6.</w:t>
      </w:r>
      <w:r>
        <w:t xml:space="preserve"> </w:t>
      </w:r>
      <w:r>
        <w:rPr>
          <w:bCs/>
          <w:b/>
        </w:rPr>
        <w:t xml:space="preserve">Personelle Änderungen</w:t>
      </w:r>
      <w:r>
        <w:t xml:space="preserve"> </w:t>
      </w:r>
      <w:r>
        <w:t xml:space="preserve">— staff changes at cRDM</w:t>
      </w:r>
    </w:p>
    <w:p>
      <w:pPr>
        <w:pStyle w:val="BodyText"/>
      </w:pPr>
      <w:r>
        <w:t xml:space="preserve">Length: 2–5 pages typical. Language: usually DE for DFG, follow original grant language.</w:t>
      </w:r>
    </w:p>
    <w:bookmarkEnd w:id="26"/>
    <w:bookmarkStart w:id="27" w:name="Xdd45ccb3373d781550993984304fd48b1da731f"/>
    <w:p>
      <w:pPr>
        <w:pStyle w:val="Heading3"/>
      </w:pPr>
      <w:r>
        <w:t xml:space="preserve">4. Cross-consortium consistency check (T-30 to T-20)</w:t>
      </w:r>
    </w:p>
    <w:p>
      <w:pPr>
        <w:pStyle w:val="FirstParagraph"/>
      </w:pPr>
      <w:r>
        <w:t xml:space="preserve">If reports for multiple consortia are due within 60 days, review together to ensure:</w:t>
      </w:r>
      <w:r>
        <w:t xml:space="preserve"> </w:t>
      </w:r>
      <w:r>
        <w:t xml:space="preserve">- Consistent framing of cRDM services</w:t>
      </w:r>
      <w:r>
        <w:t xml:space="preserve"> </w:t>
      </w:r>
      <w:r>
        <w:t xml:space="preserve">- No contradictory claims about capacity</w:t>
      </w:r>
      <w:r>
        <w:t xml:space="preserve"> </w:t>
      </w:r>
      <w:r>
        <w:t xml:space="preserve">- Reasonable acknowledgment attribution</w:t>
      </w:r>
    </w:p>
    <w:bookmarkEnd w:id="27"/>
    <w:bookmarkStart w:id="28" w:name="second-co-lead-review-t-20-to-t-14"/>
    <w:p>
      <w:pPr>
        <w:pStyle w:val="Heading3"/>
      </w:pPr>
      <w:r>
        <w:t xml:space="preserve">5. Second Co-Lead review (T-20 to T-14)</w:t>
      </w:r>
    </w:p>
    <w:p>
      <w:pPr>
        <w:pStyle w:val="FirstParagraph"/>
      </w:pPr>
      <w:r>
        <w:t xml:space="preserve">The Co-Lead who does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own this consortium reads for:</w:t>
      </w:r>
      <w:r>
        <w:t xml:space="preserve"> </w:t>
      </w:r>
      <w:r>
        <w:t xml:space="preserve">- Factual accuracy</w:t>
      </w:r>
      <w:r>
        <w:t xml:space="preserve"> </w:t>
      </w:r>
      <w:r>
        <w:t xml:space="preserve">- Consistency with own consortia’s reports</w:t>
      </w:r>
      <w:r>
        <w:t xml:space="preserve"> </w:t>
      </w:r>
      <w:r>
        <w:t xml:space="preserve">- Tone appropriate for DFG readership</w:t>
      </w:r>
    </w:p>
    <w:bookmarkEnd w:id="28"/>
    <w:bookmarkStart w:id="29" w:name="pi-review-t-14-to-t-7"/>
    <w:p>
      <w:pPr>
        <w:pStyle w:val="Heading3"/>
      </w:pPr>
      <w:r>
        <w:t xml:space="preserve">6. PI review (T-14 to T-7)</w:t>
      </w:r>
    </w:p>
    <w:p>
      <w:pPr>
        <w:pStyle w:val="FirstParagraph"/>
      </w:pPr>
      <w:r>
        <w:t xml:space="preserve">Send draft to consortium PI for:</w:t>
      </w:r>
      <w:r>
        <w:t xml:space="preserve"> </w:t>
      </w:r>
      <w:r>
        <w:t xml:space="preserve">- Approval of quantitative claims about their consortium</w:t>
      </w:r>
      <w:r>
        <w:t xml:space="preserve"> </w:t>
      </w:r>
      <w:r>
        <w:t xml:space="preserve">- Any additions specific to their work</w:t>
      </w:r>
      <w:r>
        <w:t xml:space="preserve"> </w:t>
      </w:r>
      <w:r>
        <w:t xml:space="preserve">- Sign-off before submission</w:t>
      </w:r>
    </w:p>
    <w:bookmarkEnd w:id="29"/>
    <w:bookmarkStart w:id="30" w:name="submission-t-7-to-t-0"/>
    <w:p>
      <w:pPr>
        <w:pStyle w:val="Heading3"/>
      </w:pPr>
      <w:r>
        <w:t xml:space="preserve">7. Submission (T-7 to T-0)</w:t>
      </w:r>
    </w:p>
    <w:p>
      <w:pPr>
        <w:numPr>
          <w:ilvl w:val="0"/>
          <w:numId w:val="1003"/>
        </w:numPr>
        <w:pStyle w:val="Compact"/>
      </w:pPr>
      <w:r>
        <w:t xml:space="preserve">Convert to PDF (searchable)</w:t>
      </w:r>
    </w:p>
    <w:p>
      <w:pPr>
        <w:numPr>
          <w:ilvl w:val="0"/>
          <w:numId w:val="1003"/>
        </w:numPr>
        <w:pStyle w:val="Compact"/>
      </w:pPr>
      <w:r>
        <w:t xml:space="preserve">Submit via consortium’s DFG portal (usually PI’s account)</w:t>
      </w:r>
    </w:p>
    <w:p>
      <w:pPr>
        <w:numPr>
          <w:ilvl w:val="0"/>
          <w:numId w:val="1003"/>
        </w:numPr>
        <w:pStyle w:val="Compact"/>
      </w:pPr>
      <w:r>
        <w:t xml:space="preserve">Save submitted PDF to</w:t>
      </w:r>
      <w:r>
        <w:t xml:space="preserve"> </w:t>
      </w:r>
      <w:r>
        <w:rPr>
          <w:rStyle w:val="VerbatimChar"/>
        </w:rPr>
        <w:t xml:space="preserve">Documents/Grants/{acronym}/reports/{YYYY-MM}_progress-report.pdf</w:t>
      </w:r>
    </w:p>
    <w:p>
      <w:pPr>
        <w:numPr>
          <w:ilvl w:val="0"/>
          <w:numId w:val="1003"/>
        </w:numPr>
        <w:pStyle w:val="Compact"/>
      </w:pPr>
      <w:r>
        <w:t xml:space="preserve">Update</w:t>
      </w:r>
      <w:r>
        <w:t xml:space="preserve"> </w:t>
      </w:r>
      <w:r>
        <w:rPr>
          <w:rStyle w:val="VerbatimChar"/>
        </w:rPr>
        <w:t xml:space="preserve">Documents/Grants/_tracker.xlsx</w:t>
      </w:r>
    </w:p>
    <w:p>
      <w:pPr>
        <w:numPr>
          <w:ilvl w:val="0"/>
          <w:numId w:val="1003"/>
        </w:numPr>
        <w:pStyle w:val="Compact"/>
      </w:pPr>
      <w:r>
        <w:t xml:space="preserve">Close Deck card</w:t>
      </w:r>
    </w:p>
    <w:bookmarkEnd w:id="30"/>
    <w:bookmarkEnd w:id="31"/>
    <w:bookmarkStart w:id="32" w:name="outputs-ergebnisse"/>
    <w:p>
      <w:pPr>
        <w:pStyle w:val="Heading2"/>
      </w:pPr>
      <w:r>
        <w:t xml:space="preserve">📤 Outputs / Ergebnisse</w:t>
      </w:r>
    </w:p>
    <w:p>
      <w:pPr>
        <w:numPr>
          <w:ilvl w:val="0"/>
          <w:numId w:val="1004"/>
        </w:numPr>
        <w:pStyle w:val="Compact"/>
      </w:pPr>
      <w:r>
        <w:t xml:space="preserve">Filed progress report (DE + EN if consortium is international)</w:t>
      </w:r>
    </w:p>
    <w:p>
      <w:pPr>
        <w:numPr>
          <w:ilvl w:val="0"/>
          <w:numId w:val="1004"/>
        </w:numPr>
        <w:pStyle w:val="Compact"/>
      </w:pPr>
      <w:r>
        <w:t xml:space="preserve">Updated grant tracker entry</w:t>
      </w:r>
    </w:p>
    <w:p>
      <w:pPr>
        <w:numPr>
          <w:ilvl w:val="0"/>
          <w:numId w:val="1004"/>
        </w:numPr>
        <w:pStyle w:val="Compact"/>
      </w:pPr>
      <w:r>
        <w:t xml:space="preserve">Refreshed metrics baseline in Metadata Excel</w:t>
      </w:r>
    </w:p>
    <w:bookmarkEnd w:id="32"/>
    <w:bookmarkStart w:id="33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5"/>
        </w:numPr>
        <w:pStyle w:val="Compact"/>
      </w:pPr>
      <w:r>
        <w:t xml:space="preserve">All quantitative claims backed by data source</w:t>
      </w:r>
    </w:p>
    <w:p>
      <w:pPr>
        <w:numPr>
          <w:ilvl w:val="0"/>
          <w:numId w:val="1005"/>
        </w:numPr>
        <w:pStyle w:val="Compact"/>
      </w:pPr>
      <w:r>
        <w:t xml:space="preserve">PI has approved before submission</w:t>
      </w:r>
    </w:p>
    <w:p>
      <w:pPr>
        <w:numPr>
          <w:ilvl w:val="0"/>
          <w:numId w:val="1005"/>
        </w:numPr>
        <w:pStyle w:val="Compact"/>
      </w:pPr>
      <w:r>
        <w:t xml:space="preserve">Second Co-Lead has read and signed off</w:t>
      </w:r>
    </w:p>
    <w:p>
      <w:pPr>
        <w:numPr>
          <w:ilvl w:val="0"/>
          <w:numId w:val="1005"/>
        </w:numPr>
        <w:pStyle w:val="Compact"/>
      </w:pPr>
      <w:r>
        <w:t xml:space="preserve">Submitted before deadline (not on the deadline day)</w:t>
      </w:r>
    </w:p>
    <w:p>
      <w:pPr>
        <w:numPr>
          <w:ilvl w:val="0"/>
          <w:numId w:val="1005"/>
        </w:numPr>
        <w:pStyle w:val="Compact"/>
      </w:pPr>
      <w:r>
        <w:t xml:space="preserve">Filed with searchable PDF text</w:t>
      </w:r>
    </w:p>
    <w:bookmarkEnd w:id="33"/>
    <w:bookmarkStart w:id="34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SOP-L01</w:t>
      </w:r>
      <w:r>
        <w:t xml:space="preserve"> </w:t>
      </w:r>
      <w:r>
        <w:t xml:space="preserve">— Grant Application Preparation (the report reports against the application)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SOP-A02</w:t>
      </w:r>
      <w:r>
        <w:t xml:space="preserve"> </w:t>
      </w:r>
      <w:r>
        <w:t xml:space="preserve">— Metadata Excel Maintenance (data source for metrics)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SOP-B04</w:t>
      </w:r>
      <w:r>
        <w:t xml:space="preserve"> </w:t>
      </w:r>
      <w:r>
        <w:t xml:space="preserve">— Networking Calendar (deadline tracking)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SOP-X01</w:t>
      </w:r>
      <w:r>
        <w:t xml:space="preserve"> </w:t>
      </w:r>
      <w:r>
        <w:t xml:space="preserve">— Annual Consortium Review (may inform report content)</w:t>
      </w:r>
    </w:p>
    <w:bookmarkEnd w:id="34"/>
    <w:bookmarkStart w:id="35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DFG portal quirks:</w:t>
      </w:r>
      <w:r>
        <w:t xml:space="preserve"> </w:t>
      </w:r>
      <w:r>
        <w:t xml:space="preserve">File size limits vary. Test upload at T-3 days.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German consortia report in DE; international consortia (e.g., EU-linked) sometimes in EN. Match the grant application language.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Metrics accuracy:</w:t>
      </w:r>
      <w:r>
        <w:t xml:space="preserve"> </w:t>
      </w:r>
      <w:r>
        <w:t xml:space="preserve">Round numbers up to nearest 10 (users) or 100 GB (storage) — avoid false precision.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2026-07-28T21:37:40Z</dcterms:created>
  <dcterms:modified xsi:type="dcterms:W3CDTF">2026-07-28T21:37:40Z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